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ind w:left="2160" w:firstLine="720"/>
        <w:jc w:val="left"/>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spacing w:line="360" w:lineRule="auto"/>
        <w:jc w:val="center"/>
        <w:rPr/>
      </w:pPr>
      <w:bookmarkStart w:colFirst="0" w:colLast="0" w:name="_csy3xjnutf92" w:id="1"/>
      <w:bookmarkEnd w:id="1"/>
      <w:r w:rsidDel="00000000" w:rsidR="00000000" w:rsidRPr="00000000">
        <w:rPr>
          <w:rtl w:val="0"/>
        </w:rPr>
        <w:t xml:space="preserve">interview: Hilde Vandermeeren schreef het Wablieft-boek ‘Moord in de wijk’</w:t>
      </w:r>
    </w:p>
    <w:p w:rsidR="00000000" w:rsidDel="00000000" w:rsidP="00000000" w:rsidRDefault="00000000" w:rsidRPr="00000000" w14:paraId="00000003">
      <w:pPr>
        <w:pStyle w:val="Heading2"/>
        <w:spacing w:line="360" w:lineRule="auto"/>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4">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wat je gaat lezen.</w:t>
      </w:r>
    </w:p>
    <w:p w:rsidR="00000000" w:rsidDel="00000000" w:rsidP="00000000" w:rsidRDefault="00000000" w:rsidRPr="00000000" w14:paraId="00000005">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Think-pair-share-werkvorm</w:t>
      </w:r>
      <w:r w:rsidDel="00000000" w:rsidR="00000000" w:rsidRPr="00000000">
        <w:rPr>
          <w:rFonts w:ascii="EB Garamond" w:cs="EB Garamond" w:eastAsia="EB Garamond" w:hAnsi="EB Garamond"/>
          <w:sz w:val="24"/>
          <w:szCs w:val="24"/>
          <w:rtl w:val="0"/>
        </w:rPr>
        <w:t xml:space="preserve">: Het is een vlotte manier om sneller en spontaner reacties te krijgen na een vraag, bv. </w:t>
      </w:r>
      <w:r w:rsidDel="00000000" w:rsidR="00000000" w:rsidRPr="00000000">
        <w:rPr>
          <w:rFonts w:ascii="EB Garamond" w:cs="EB Garamond" w:eastAsia="EB Garamond" w:hAnsi="EB Garamond"/>
          <w:i w:val="1"/>
          <w:sz w:val="24"/>
          <w:szCs w:val="24"/>
          <w:rtl w:val="0"/>
        </w:rPr>
        <w:t xml:space="preserve">Als jij een schrijver zou interviewen, wat zou je dan vragen?</w:t>
      </w:r>
    </w:p>
    <w:p w:rsidR="00000000" w:rsidDel="00000000" w:rsidP="00000000" w:rsidRDefault="00000000" w:rsidRPr="00000000" w14:paraId="00000007">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Stel de vraag en geef een minuut of twee bedenktijd (think).</w:t>
      </w:r>
    </w:p>
    <w:p w:rsidR="00000000" w:rsidDel="00000000" w:rsidP="00000000" w:rsidRDefault="00000000" w:rsidRPr="00000000" w14:paraId="00000008">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Laat je cursisten hun antwoorden per twee uitwisselen (pair).</w:t>
      </w:r>
    </w:p>
    <w:p w:rsidR="00000000" w:rsidDel="00000000" w:rsidP="00000000" w:rsidRDefault="00000000" w:rsidRPr="00000000" w14:paraId="00000009">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Vraag daarna klassikaal een antwoord van je cursisten (share) en laat anderen reageren.  </w:t>
      </w:r>
    </w:p>
    <w:p w:rsidR="00000000" w:rsidDel="00000000" w:rsidP="00000000" w:rsidRDefault="00000000" w:rsidRPr="00000000" w14:paraId="0000000A">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Het voordeel van deze methodiek is dat je een drempel wegneemt voor je cursisten om hun antwoord te delen of mening te geven. Ze hebben immers al met elkaar overlegd en kort kunnen aftoetsen of die andere persoon begrijpt wat ze bedoelen. Daarna een antwoord delen met een grotere groep wordt zo minder beangstigend. Cursisten zijn ook gemotiveerd om na te denken over een antwoord, omdat ze het nadien sowieso met iemand gaan delen. </w:t>
      </w:r>
    </w:p>
    <w:p w:rsidR="00000000" w:rsidDel="00000000" w:rsidP="00000000" w:rsidRDefault="00000000" w:rsidRPr="00000000" w14:paraId="0000000B">
      <w:pPr>
        <w:pStyle w:val="Heading2"/>
        <w:spacing w:line="360" w:lineRule="auto"/>
        <w:rPr/>
      </w:pPr>
      <w:bookmarkStart w:colFirst="0" w:colLast="0" w:name="_eahwsmbljshs" w:id="3"/>
      <w:bookmarkEnd w:id="3"/>
      <w:r w:rsidDel="00000000" w:rsidR="00000000" w:rsidRPr="00000000">
        <w:rPr>
          <w:rtl w:val="0"/>
        </w:rPr>
        <w:t xml:space="preserve">Tijdens het lezen</w:t>
      </w:r>
    </w:p>
    <w:p w:rsidR="00000000" w:rsidDel="00000000" w:rsidP="00000000" w:rsidRDefault="00000000" w:rsidRPr="00000000" w14:paraId="0000000C">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w:t>
      </w:r>
    </w:p>
    <w:p w:rsidR="00000000" w:rsidDel="00000000" w:rsidP="00000000" w:rsidRDefault="00000000" w:rsidRPr="00000000" w14:paraId="0000000D">
      <w:pPr>
        <w:spacing w:line="360" w:lineRule="auto"/>
        <w:rPr>
          <w:i w:val="1"/>
        </w:rPr>
      </w:pPr>
      <w:r w:rsidDel="00000000" w:rsidR="00000000" w:rsidRPr="00000000">
        <w:rPr>
          <w:rtl w:val="0"/>
        </w:rPr>
      </w:r>
    </w:p>
    <w:p w:rsidR="00000000" w:rsidDel="00000000" w:rsidP="00000000" w:rsidRDefault="00000000" w:rsidRPr="00000000" w14:paraId="0000000E">
      <w:pPr>
        <w:numPr>
          <w:ilvl w:val="0"/>
          <w:numId w:val="3"/>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Auteursportret maken</w:t>
      </w:r>
    </w:p>
    <w:p w:rsidR="00000000" w:rsidDel="00000000" w:rsidP="00000000" w:rsidRDefault="00000000" w:rsidRPr="00000000" w14:paraId="0000000F">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Laat je cursisten in groepjes een auteursportret maken. Je kan ook overwegen of ze info mogen/kunnen opzoeken op internet, bv. </w:t>
      </w:r>
      <w:hyperlink r:id="rId6">
        <w:r w:rsidDel="00000000" w:rsidR="00000000" w:rsidRPr="00000000">
          <w:rPr>
            <w:rFonts w:ascii="EB Garamond" w:cs="EB Garamond" w:eastAsia="EB Garamond" w:hAnsi="EB Garamond"/>
            <w:color w:val="1155cc"/>
            <w:sz w:val="24"/>
            <w:szCs w:val="24"/>
            <w:u w:val="single"/>
            <w:rtl w:val="0"/>
          </w:rPr>
          <w:t xml:space="preserve">www.hildevandermeeren.com</w:t>
        </w:r>
      </w:hyperlink>
      <w:r w:rsidDel="00000000" w:rsidR="00000000" w:rsidRPr="00000000">
        <w:rPr>
          <w:rFonts w:ascii="EB Garamond" w:cs="EB Garamond" w:eastAsia="EB Garamond" w:hAnsi="EB Garamond"/>
          <w:sz w:val="24"/>
          <w:szCs w:val="24"/>
          <w:rtl w:val="0"/>
        </w:rPr>
        <w:t xml:space="preserve">. Hier kunnen ze extra info vinden over haar studies en haar beroep naast schrijven. </w:t>
      </w:r>
      <w:r w:rsidDel="00000000" w:rsidR="00000000" w:rsidRPr="00000000">
        <w:rPr>
          <w:rFonts w:ascii="EB Garamond" w:cs="EB Garamond" w:eastAsia="EB Garamond" w:hAnsi="EB Garamond"/>
          <w:sz w:val="24"/>
          <w:szCs w:val="24"/>
          <w:rtl w:val="0"/>
        </w:rPr>
        <w:t xml:space="preserve"> In de bijlage vind je een sjabloon voor een portret. </w:t>
      </w:r>
      <w:r w:rsidDel="00000000" w:rsidR="00000000" w:rsidRPr="00000000">
        <w:rPr>
          <w:rtl w:val="0"/>
        </w:rPr>
      </w:r>
    </w:p>
    <w:p w:rsidR="00000000" w:rsidDel="00000000" w:rsidP="00000000" w:rsidRDefault="00000000" w:rsidRPr="00000000" w14:paraId="00000010">
      <w:pPr>
        <w:pStyle w:val="Heading2"/>
        <w:spacing w:line="360" w:lineRule="auto"/>
        <w:rPr/>
      </w:pPr>
      <w:bookmarkStart w:colFirst="0" w:colLast="0" w:name="_pgrvz7bthol" w:id="4"/>
      <w:bookmarkEnd w:id="4"/>
      <w:r w:rsidDel="00000000" w:rsidR="00000000" w:rsidRPr="00000000">
        <w:rPr>
          <w:rtl w:val="0"/>
        </w:rPr>
        <w:t xml:space="preserve">Na het lezen</w:t>
      </w:r>
    </w:p>
    <w:p w:rsidR="00000000" w:rsidDel="00000000" w:rsidP="00000000" w:rsidRDefault="00000000" w:rsidRPr="00000000" w14:paraId="00000011">
      <w:pPr>
        <w:spacing w:line="360" w:lineRule="auto"/>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Maak een (Kahoot)quizje op basis van het interview én het auteursportret. Bijvoorbeeld aan de hand van volgende vragen: </w:t>
      </w:r>
    </w:p>
    <w:p w:rsidR="00000000" w:rsidDel="00000000" w:rsidP="00000000" w:rsidRDefault="00000000" w:rsidRPr="00000000" w14:paraId="00000014">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Hoeveel boeken heeft ze al geschreven?</w:t>
      </w:r>
    </w:p>
    <w:p w:rsidR="00000000" w:rsidDel="00000000" w:rsidP="00000000" w:rsidRDefault="00000000" w:rsidRPr="00000000" w14:paraId="00000015">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Welk genre schrijft ze voor volwassenen? </w:t>
      </w:r>
    </w:p>
    <w:p w:rsidR="00000000" w:rsidDel="00000000" w:rsidP="00000000" w:rsidRDefault="00000000" w:rsidRPr="00000000" w14:paraId="00000016">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Wanneer verscheen haar laatste kinderboek?</w:t>
      </w:r>
    </w:p>
    <w:p w:rsidR="00000000" w:rsidDel="00000000" w:rsidP="00000000" w:rsidRDefault="00000000" w:rsidRPr="00000000" w14:paraId="00000017">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Hoe heten de hoofdpersonages? </w:t>
      </w:r>
    </w:p>
    <w:p w:rsidR="00000000" w:rsidDel="00000000" w:rsidP="00000000" w:rsidRDefault="00000000" w:rsidRPr="00000000" w14:paraId="00000018">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Op welk personage is Rita geïnspireerd? </w:t>
      </w:r>
    </w:p>
    <w:p w:rsidR="00000000" w:rsidDel="00000000" w:rsidP="00000000" w:rsidRDefault="00000000" w:rsidRPr="00000000" w14:paraId="00000019">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Zijn ze fictief of bestaan ze ook in het echt?</w:t>
      </w:r>
    </w:p>
    <w:p w:rsidR="00000000" w:rsidDel="00000000" w:rsidP="00000000" w:rsidRDefault="00000000" w:rsidRPr="00000000" w14:paraId="0000001A">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Wanneer leest ze het liefst? </w:t>
      </w:r>
    </w:p>
    <w:p w:rsidR="00000000" w:rsidDel="00000000" w:rsidP="00000000" w:rsidRDefault="00000000" w:rsidRPr="00000000" w14:paraId="0000001B">
      <w:pPr>
        <w:numPr>
          <w:ilvl w:val="0"/>
          <w:numId w:val="2"/>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Vergeet vooral het boek niet te lezen met je klas! Kijk alvast ook eens naar de lessuggesties voor het boek. </w:t>
      </w:r>
    </w:p>
    <w:p w:rsidR="00000000" w:rsidDel="00000000" w:rsidP="00000000" w:rsidRDefault="00000000" w:rsidRPr="00000000" w14:paraId="0000001C">
      <w:pPr>
        <w:numPr>
          <w:ilvl w:val="0"/>
          <w:numId w:val="2"/>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Je kan haar ook uitnodigingen bij jou op school voor een auteurslezing: </w:t>
      </w:r>
      <w:hyperlink r:id="rId7">
        <w:r w:rsidDel="00000000" w:rsidR="00000000" w:rsidRPr="00000000">
          <w:rPr>
            <w:rFonts w:ascii="EB Garamond" w:cs="EB Garamond" w:eastAsia="EB Garamond" w:hAnsi="EB Garamond"/>
            <w:color w:val="1155cc"/>
            <w:sz w:val="24"/>
            <w:szCs w:val="24"/>
            <w:u w:val="single"/>
            <w:rtl w:val="0"/>
          </w:rPr>
          <w:t xml:space="preserve">www.auteurslezingen.be</w:t>
        </w:r>
      </w:hyperlink>
      <w:r w:rsidDel="00000000" w:rsidR="00000000" w:rsidRPr="00000000">
        <w:rPr>
          <w:rtl w:val="0"/>
        </w:rPr>
      </w:r>
    </w:p>
    <w:p w:rsidR="00000000" w:rsidDel="00000000" w:rsidP="00000000" w:rsidRDefault="00000000" w:rsidRPr="00000000" w14:paraId="0000001D">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F">
      <w:pPr>
        <w:spacing w:line="360" w:lineRule="auto"/>
        <w:ind w:left="720" w:firstLine="0"/>
        <w:rPr>
          <w:rFonts w:ascii="EB Garamond" w:cs="EB Garamond" w:eastAsia="EB Garamond" w:hAnsi="EB Garamond"/>
          <w:i w:val="1"/>
          <w:sz w:val="24"/>
          <w:szCs w:val="24"/>
        </w:rPr>
      </w:pPr>
      <w:r w:rsidDel="00000000" w:rsidR="00000000" w:rsidRPr="00000000">
        <w:rPr>
          <w:rtl w:val="0"/>
        </w:rPr>
      </w:r>
    </w:p>
    <w:p w:rsidR="00000000" w:rsidDel="00000000" w:rsidP="00000000" w:rsidRDefault="00000000" w:rsidRPr="00000000" w14:paraId="00000020">
      <w:pPr>
        <w:spacing w:line="360" w:lineRule="auto"/>
        <w:ind w:left="720" w:firstLine="0"/>
        <w:rPr/>
      </w:pPr>
      <w:r w:rsidDel="00000000" w:rsidR="00000000" w:rsidRPr="00000000">
        <w:rPr>
          <w:rtl w:val="0"/>
        </w:rPr>
      </w:r>
    </w:p>
    <w:p w:rsidR="00000000" w:rsidDel="00000000" w:rsidP="00000000" w:rsidRDefault="00000000" w:rsidRPr="00000000" w14:paraId="00000021">
      <w:pPr>
        <w:spacing w:line="360" w:lineRule="auto"/>
        <w:ind w:left="720" w:firstLine="0"/>
        <w:rPr/>
      </w:pPr>
      <w:r w:rsidDel="00000000" w:rsidR="00000000" w:rsidRPr="00000000">
        <w:rPr>
          <w:rtl w:val="0"/>
        </w:rPr>
      </w:r>
    </w:p>
    <w:p w:rsidR="00000000" w:rsidDel="00000000" w:rsidP="00000000" w:rsidRDefault="00000000" w:rsidRPr="00000000" w14:paraId="00000022">
      <w:pPr>
        <w:spacing w:line="360" w:lineRule="auto"/>
        <w:ind w:left="0" w:firstLine="0"/>
        <w:rPr/>
      </w:pPr>
      <w:r w:rsidDel="00000000" w:rsidR="00000000" w:rsidRPr="00000000">
        <w:rPr>
          <w:rtl w:val="0"/>
        </w:rPr>
      </w:r>
    </w:p>
    <w:p w:rsidR="00000000" w:rsidDel="00000000" w:rsidP="00000000" w:rsidRDefault="00000000" w:rsidRPr="00000000" w14:paraId="00000023">
      <w:pPr>
        <w:spacing w:line="360" w:lineRule="auto"/>
        <w:ind w:left="0" w:firstLine="0"/>
        <w:rPr/>
      </w:pPr>
      <w:r w:rsidDel="00000000" w:rsidR="00000000" w:rsidRPr="00000000">
        <w:rPr>
          <w:rtl w:val="0"/>
        </w:rPr>
      </w:r>
    </w:p>
    <w:sectPr>
      <w:headerReference r:id="rId8" w:type="default"/>
      <w:pgSz w:h="16838" w:w="11906"/>
      <w:pgMar w:bottom="948.3070866141725"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ab/>
      <w:tab/>
      <w:tab/>
      <w:tab/>
      <w:tab/>
      <w:tab/>
      <w:tab/>
    </w:r>
    <w:r w:rsidDel="00000000" w:rsidR="00000000" w:rsidRPr="00000000">
      <w:drawing>
        <wp:anchor allowOverlap="1" behindDoc="0" distB="0" distT="0" distL="0" distR="0" hidden="0" layoutInCell="1" locked="0" relativeHeight="0" simplePos="0">
          <wp:simplePos x="0" y="0"/>
          <wp:positionH relativeFrom="column">
            <wp:posOffset>-971549</wp:posOffset>
          </wp:positionH>
          <wp:positionV relativeFrom="paragraph">
            <wp:posOffset>-447674</wp:posOffset>
          </wp:positionV>
          <wp:extent cx="7519988" cy="16383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9988" cy="1638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ldevandermeeren.com" TargetMode="External"/><Relationship Id="rId7" Type="http://schemas.openxmlformats.org/officeDocument/2006/relationships/hyperlink" Target="http://www.auteurslezingen.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